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70" w:lineRule="exact"/>
        <w:ind w:left="1320" w:hanging="1320" w:hangingChars="300"/>
        <w:jc w:val="center"/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宾川县市场监管局</w:t>
      </w:r>
    </w:p>
    <w:p>
      <w:pPr>
        <w:pStyle w:val="4"/>
        <w:widowControl/>
        <w:spacing w:line="570" w:lineRule="exact"/>
        <w:ind w:left="1320" w:hanging="1320" w:hangingChars="300"/>
        <w:jc w:val="center"/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  <w:lang w:eastAsia="zh-CN"/>
        </w:rPr>
        <w:t>关于</w:t>
      </w: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202</w:t>
      </w: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  <w:lang w:val="en-US" w:eastAsia="zh-CN"/>
        </w:rPr>
        <w:t>3</w:t>
      </w: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年度学校</w:t>
      </w: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  <w:lang w:eastAsia="zh-CN"/>
        </w:rPr>
        <w:t>食堂</w:t>
      </w: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食品安全“双</w:t>
      </w:r>
    </w:p>
    <w:p>
      <w:pPr>
        <w:pStyle w:val="4"/>
        <w:widowControl/>
        <w:spacing w:line="570" w:lineRule="exact"/>
        <w:ind w:left="1320" w:hanging="1320" w:hangingChars="300"/>
        <w:jc w:val="center"/>
        <w:rPr>
          <w:rFonts w:ascii="方正小标宋_GBK" w:hAnsi="仿宋" w:eastAsia="方正小标宋_GBK" w:cs="仿宋"/>
          <w:bCs/>
          <w:color w:val="333333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随机、一公开”部门联合抽查</w:t>
      </w: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  <w:lang w:eastAsia="zh-CN"/>
        </w:rPr>
        <w:t>结果的公示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4"/>
        <w:widowControl/>
        <w:spacing w:line="570" w:lineRule="exact"/>
        <w:ind w:firstLine="640" w:firstLineChars="200"/>
        <w:jc w:val="both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为贯彻落实《202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年度大理州市场监督管理局“双随机、一公开”抽查工作计划的通知》精神，</w:t>
      </w:r>
      <w:r>
        <w:rPr>
          <w:rFonts w:hint="eastAsia" w:ascii="宋体" w:hAnsi="宋体" w:eastAsia="方正仿宋_GBK" w:cs="仿宋_GB2312"/>
          <w:color w:val="000000"/>
          <w:sz w:val="32"/>
          <w:szCs w:val="32"/>
        </w:rPr>
        <w:t>根据《宾川县市场监督管理局202</w:t>
      </w:r>
      <w:r>
        <w:rPr>
          <w:rFonts w:hint="eastAsia" w:ascii="宋体" w:hAnsi="宋体" w:eastAsia="方正仿宋_GBK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仿宋_GB2312"/>
          <w:color w:val="000000"/>
          <w:sz w:val="32"/>
          <w:szCs w:val="32"/>
        </w:rPr>
        <w:t>年度“双随机、一公开”监管抽查计划》</w:t>
      </w:r>
      <w:r>
        <w:rPr>
          <w:rFonts w:hint="eastAsia" w:ascii="方正仿宋_GBK" w:eastAsia="方正仿宋_GBK"/>
          <w:sz w:val="32"/>
          <w:szCs w:val="32"/>
        </w:rPr>
        <w:t>，县市场监管局和县教育体育局联合开展</w:t>
      </w:r>
      <w:r>
        <w:rPr>
          <w:rFonts w:hint="eastAsia" w:ascii="方正仿宋_GBK" w:eastAsia="方正仿宋_GBK"/>
          <w:sz w:val="32"/>
          <w:szCs w:val="32"/>
          <w:lang w:eastAsia="zh-CN"/>
        </w:rPr>
        <w:t>了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年度学校</w:t>
      </w:r>
      <w:r>
        <w:rPr>
          <w:rFonts w:hint="eastAsia" w:ascii="方正仿宋_GBK" w:eastAsia="方正仿宋_GBK"/>
          <w:sz w:val="32"/>
          <w:szCs w:val="32"/>
          <w:lang w:eastAsia="zh-CN"/>
        </w:rPr>
        <w:t>食堂食品</w:t>
      </w:r>
      <w:r>
        <w:rPr>
          <w:rFonts w:hint="eastAsia" w:ascii="方正仿宋_GBK" w:eastAsia="方正仿宋_GBK"/>
          <w:sz w:val="32"/>
          <w:szCs w:val="32"/>
        </w:rPr>
        <w:t>安全“双随机、一公开”抽查工作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从辖区内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186个学校食堂中随机抽取了8个，进行实地检查，现将检查结果公示如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下：</w:t>
      </w:r>
    </w:p>
    <w:p>
      <w:pPr>
        <w:pStyle w:val="4"/>
        <w:widowControl/>
        <w:spacing w:line="570" w:lineRule="exact"/>
        <w:ind w:firstLine="640" w:firstLineChars="200"/>
        <w:jc w:val="both"/>
        <w:rPr>
          <w:rFonts w:ascii="Times New Roman" w:hAnsi="Times New Roman" w:eastAsia="方正仿宋_GBK"/>
          <w:color w:val="000000"/>
          <w:sz w:val="32"/>
          <w:szCs w:val="32"/>
        </w:rPr>
      </w:pPr>
    </w:p>
    <w:tbl>
      <w:tblPr>
        <w:tblStyle w:val="6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1"/>
        <w:gridCol w:w="788"/>
        <w:gridCol w:w="1024"/>
        <w:gridCol w:w="997"/>
        <w:gridCol w:w="998"/>
        <w:gridCol w:w="1037"/>
        <w:gridCol w:w="182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9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检查计划</w:t>
            </w: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检查对象</w:t>
            </w:r>
          </w:p>
        </w:tc>
        <w:tc>
          <w:tcPr>
            <w:tcW w:w="9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检查机关</w:t>
            </w:r>
          </w:p>
        </w:tc>
        <w:tc>
          <w:tcPr>
            <w:tcW w:w="9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检查事项</w:t>
            </w:r>
          </w:p>
        </w:tc>
        <w:tc>
          <w:tcPr>
            <w:tcW w:w="10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检查方式</w:t>
            </w:r>
          </w:p>
        </w:tc>
        <w:tc>
          <w:tcPr>
            <w:tcW w:w="1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检查结果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学校食堂食品安全联合抽查</w:t>
            </w: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宾川县金牛镇中心学校江干完全小学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宾川县市场监督管理局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学校食堂食品安全情况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实地检查</w:t>
            </w:r>
          </w:p>
        </w:tc>
        <w:tc>
          <w:tcPr>
            <w:tcW w:w="1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1.三防设施未有效使用；2.用于盛放食品的容器未加盖；3.食品库房未使用挡鼠板；4.操作间有苍蝇。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已当场责令整改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宾川县钟英乡中心学校中心完小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宾川县平川镇中心学校康宁完小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宾川县鸡足山镇星星爱心幼儿园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宾川县力角镇自和幼儿园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宾川县州城镇中心学校龙邑完小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宾川县州城镇第二初级中学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8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宾川县乔甸镇中心学校雄鲁么完小</w:t>
            </w:r>
          </w:p>
        </w:tc>
        <w:tc>
          <w:tcPr>
            <w:tcW w:w="99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  <w:szCs w:val="24"/>
                <w:vertAlign w:val="baseline"/>
                <w:lang w:eastAsia="zh-CN"/>
              </w:rPr>
              <w:t>未发现问题</w:t>
            </w:r>
          </w:p>
        </w:tc>
        <w:tc>
          <w:tcPr>
            <w:tcW w:w="1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pacing w:val="-20"/>
                <w:sz w:val="24"/>
                <w:szCs w:val="24"/>
                <w:vertAlign w:val="baseline"/>
              </w:rPr>
            </w:pPr>
          </w:p>
        </w:tc>
      </w:tr>
    </w:tbl>
    <w:p>
      <w:pPr>
        <w:pStyle w:val="4"/>
        <w:widowControl/>
        <w:spacing w:line="570" w:lineRule="exact"/>
        <w:jc w:val="both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kZTY4ZTI1MzA0MmQ3NzFlZGY5YjFlYTgwMzMwZjQifQ=="/>
  </w:docVars>
  <w:rsids>
    <w:rsidRoot w:val="00605B99"/>
    <w:rsid w:val="000A4107"/>
    <w:rsid w:val="000E050C"/>
    <w:rsid w:val="000F5C39"/>
    <w:rsid w:val="00111BDD"/>
    <w:rsid w:val="00123570"/>
    <w:rsid w:val="001403D1"/>
    <w:rsid w:val="002B14A1"/>
    <w:rsid w:val="002E154A"/>
    <w:rsid w:val="00337264"/>
    <w:rsid w:val="00350C9B"/>
    <w:rsid w:val="003C0CF9"/>
    <w:rsid w:val="00502AD0"/>
    <w:rsid w:val="00573DC7"/>
    <w:rsid w:val="00574D20"/>
    <w:rsid w:val="005F05AF"/>
    <w:rsid w:val="00605B99"/>
    <w:rsid w:val="0061081A"/>
    <w:rsid w:val="00796074"/>
    <w:rsid w:val="007B0051"/>
    <w:rsid w:val="00853C4C"/>
    <w:rsid w:val="008A7E29"/>
    <w:rsid w:val="0094498D"/>
    <w:rsid w:val="009449C8"/>
    <w:rsid w:val="009E10E1"/>
    <w:rsid w:val="009F0B0D"/>
    <w:rsid w:val="00A54572"/>
    <w:rsid w:val="00AC0E6D"/>
    <w:rsid w:val="00AE768C"/>
    <w:rsid w:val="00B739AE"/>
    <w:rsid w:val="00BE145D"/>
    <w:rsid w:val="00CC3197"/>
    <w:rsid w:val="00CE61D3"/>
    <w:rsid w:val="00D172E0"/>
    <w:rsid w:val="00D50409"/>
    <w:rsid w:val="00ED479D"/>
    <w:rsid w:val="00F245D1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215</Words>
  <Characters>1226</Characters>
  <Lines>10</Lines>
  <Paragraphs>2</Paragraphs>
  <TotalTime>28</TotalTime>
  <ScaleCrop>false</ScaleCrop>
  <LinksUpToDate>false</LinksUpToDate>
  <CharactersWithSpaces>1439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2020-11-19T02:57:00Z</dcterms:created>
  <dc:creator>User</dc:creator>
  <cp:lastModifiedBy>小何cai露尖♂角</cp:lastModifiedBy>
  <dcterms:modified xsi:type="dcterms:W3CDTF">2023-12-12T03:09:39Z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40F2B146AE9A459CAA2FDFD749943CC8_12</vt:lpwstr>
  </property>
</Properties>
</file>